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B05D0" w14:textId="7BEBB9FF" w:rsidR="00966605" w:rsidRDefault="0044376B" w:rsidP="00E24CE9">
      <w:pPr>
        <w:pStyle w:val="Ttulo1"/>
        <w:rPr>
          <w:lang w:val="es-ES"/>
        </w:rPr>
      </w:pPr>
      <w:r>
        <w:rPr>
          <w:lang w:val="es-ES"/>
        </w:rPr>
        <w:t>Proyecto</w:t>
      </w:r>
      <w:r w:rsidR="00966605">
        <w:rPr>
          <w:lang w:val="es-ES"/>
        </w:rPr>
        <w:t xml:space="preserve"> reforma tributaria 202</w:t>
      </w:r>
      <w:r>
        <w:rPr>
          <w:lang w:val="es-ES"/>
        </w:rPr>
        <w:t>5</w:t>
      </w:r>
      <w:r w:rsidR="00E24CE9">
        <w:rPr>
          <w:lang w:val="es-ES"/>
        </w:rPr>
        <w:t>:</w:t>
      </w:r>
      <w:r w:rsidR="00966605">
        <w:rPr>
          <w:lang w:val="es-ES"/>
        </w:rPr>
        <w:t xml:space="preserve"> </w:t>
      </w:r>
      <w:r>
        <w:rPr>
          <w:lang w:val="es-ES"/>
        </w:rPr>
        <w:t>se exigiría practicar retenciones en la fuente para poder deducir costos y gastos</w:t>
      </w:r>
    </w:p>
    <w:p w14:paraId="2F7ACE9C" w14:textId="39CD04F5" w:rsidR="00966605" w:rsidRDefault="00E24CE9">
      <w:pPr>
        <w:rPr>
          <w:lang w:val="es-ES"/>
        </w:rPr>
      </w:pP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440F90" wp14:editId="4416CDA0">
                <wp:simplePos x="0" y="0"/>
                <wp:positionH relativeFrom="column">
                  <wp:posOffset>5181</wp:posOffset>
                </wp:positionH>
                <wp:positionV relativeFrom="paragraph">
                  <wp:posOffset>152572</wp:posOffset>
                </wp:positionV>
                <wp:extent cx="5386507" cy="905854"/>
                <wp:effectExtent l="0" t="0" r="11430" b="8890"/>
                <wp:wrapNone/>
                <wp:docPr id="142929832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86507" cy="90585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9A778D0" w14:textId="314BCF82" w:rsidR="00E24CE9" w:rsidRPr="00E24CE9" w:rsidRDefault="00E24CE9">
                            <w:pPr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En el proyecto de Ley</w:t>
                            </w:r>
                            <w:r w:rsidR="0074217D">
                              <w:rPr>
                                <w:lang w:val="es-ES"/>
                              </w:rPr>
                              <w:t xml:space="preserve"> radicado en septiembre 1 de 2025</w:t>
                            </w:r>
                            <w:r>
                              <w:rPr>
                                <w:lang w:val="es-ES"/>
                              </w:rPr>
                              <w:t xml:space="preserve"> se propone modificar el artículo 1</w:t>
                            </w:r>
                            <w:r w:rsidR="0044376B">
                              <w:rPr>
                                <w:lang w:val="es-ES"/>
                              </w:rPr>
                              <w:t>77</w:t>
                            </w:r>
                            <w:r>
                              <w:rPr>
                                <w:lang w:val="es-ES"/>
                              </w:rPr>
                              <w:t xml:space="preserve"> del ET para establecer que antes de presentar la declaración de renta se tendrían que haber declarado y pagado las retenciones en la fuente a título de renta que se debieron practicar sobre los costos y gastos que se pretendan deducir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440F90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.4pt;margin-top:12pt;width:424.15pt;height:71.3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QW8XOQIAAHwEAAAOAAAAZHJzL2Uyb0RvYy54bWysVE1v2zAMvQ/YfxB0X+ykcZoacYosRYYB&#13;&#10;QVsgLXpWZDk2JouapMTOfv0o2flot9Owi0yJ1BP5+OjZfVtLchDGVqAyOhzElAjFIa/ULqOvL6sv&#13;&#10;U0qsYypnEpTI6FFYej///GnW6FSMoASZC0MQRNm00RktndNpFFleiprZAWih0FmAqZnDrdlFuWEN&#13;&#10;otcyGsXxJGrA5NoAF9bi6UPnpPOAXxSCu6eisMIRmVHMzYXVhHXr12g+Y+nOMF1WvE+D/UMWNasU&#13;&#10;PnqGemCOkb2p/oCqK27AQuEGHOoIiqLiItSA1QzjD9VsSqZFqAXJsfpMk/1/sPzxsNHPhrj2K7TY&#13;&#10;QE9Io21q8dDX0xam9l/MlKAfKTyeaROtIxwPk5vpJIlvKeHou4uTaTL2MNHltjbWfRNQE29k1GBb&#13;&#10;AlvssLauCz2F+McsyCpfVVKGjZeCWEpDDgybKF3IEcHfRUlFmoxObpI4AL/zeejz/a1k/Eef3lUU&#13;&#10;4kmFOV9q95Zrt21PyBbyI/JkoJOQ1XxVIe6aWffMDGoGqcE5cE+4FBIwGegtSkowv/527uOxleil&#13;&#10;pEENZtT+3DMjKJHfFTb5bjgee9GGzTi5HeHGXHu21x61r5eADA1x4jQPpo938mQWBuo3HJeFfxVd&#13;&#10;THF8O6PuZC5dNxk4blwsFiEIZaqZW6uN5h7ad8Tz+dK+MaP7fjpUwiOc1MrSD23tYv1NBYu9g6IK&#13;&#10;PfcEd6z2vKPEg2r6cfQzdL0PUZefxvw3AAAA//8DAFBLAwQUAAYACAAAACEANnyhouAAAAAMAQAA&#13;&#10;DwAAAGRycy9kb3ducmV2LnhtbEyPzU7DMBCE70i8g7WVuFGnVRXSNE7FT+HCiYI4b2PXthrbke2m&#13;&#10;4e1ZTvSy0mpmZ79ptpPr2ahissELWMwLYMp3QVqvBXx9vt5XwFJGL7EPXgn4UQm27e1Ng7UMF/+h&#13;&#10;xn3WjEJ8qlGAyXmoOU+dUQ7TPAzKk3YM0WGmNWouI14o3PV8WRQld2g9fTA4qGejutP+7ATsnvRa&#13;&#10;dxVGs6ukteP0fXzXb0LczaaXDY3HDbCspvx/AX8diB9aAjuEs5eJ9QIIPgtYrqgVqdVqvQB2IFtZ&#13;&#10;PgBvG35dov0FAAD//wMAUEsBAi0AFAAGAAgAAAAhALaDOJL+AAAA4QEAABMAAAAAAAAAAAAAAAAA&#13;&#10;AAAAAFtDb250ZW50X1R5cGVzXS54bWxQSwECLQAUAAYACAAAACEAOP0h/9YAAACUAQAACwAAAAAA&#13;&#10;AAAAAAAAAAAvAQAAX3JlbHMvLnJlbHNQSwECLQAUAAYACAAAACEANEFvFzkCAAB8BAAADgAAAAAA&#13;&#10;AAAAAAAAAAAuAgAAZHJzL2Uyb0RvYy54bWxQSwECLQAUAAYACAAAACEANnyhouAAAAAMAQAADwAA&#13;&#10;AAAAAAAAAAAAAACTBAAAZHJzL2Rvd25yZXYueG1sUEsFBgAAAAAEAAQA8wAAAKAFAAAAAA==&#13;&#10;" fillcolor="white [3201]" strokeweight=".5pt">
                <v:textbox>
                  <w:txbxContent>
                    <w:p w14:paraId="09A778D0" w14:textId="314BCF82" w:rsidR="00E24CE9" w:rsidRPr="00E24CE9" w:rsidRDefault="00E24CE9">
                      <w:pPr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En el proyecto de Ley</w:t>
                      </w:r>
                      <w:r w:rsidR="0074217D">
                        <w:rPr>
                          <w:lang w:val="es-ES"/>
                        </w:rPr>
                        <w:t xml:space="preserve"> radicado en septiembre 1 de 2025</w:t>
                      </w:r>
                      <w:r>
                        <w:rPr>
                          <w:lang w:val="es-ES"/>
                        </w:rPr>
                        <w:t xml:space="preserve"> se propone modificar el artículo 1</w:t>
                      </w:r>
                      <w:r w:rsidR="0044376B">
                        <w:rPr>
                          <w:lang w:val="es-ES"/>
                        </w:rPr>
                        <w:t>77</w:t>
                      </w:r>
                      <w:r>
                        <w:rPr>
                          <w:lang w:val="es-ES"/>
                        </w:rPr>
                        <w:t xml:space="preserve"> del ET para establecer que antes de presentar la declaración de renta se tendrían que haber declarado y pagado las retenciones en la fuente a título de renta que se debieron practicar sobre los costos y gastos que se pretendan deducir</w:t>
                      </w:r>
                    </w:p>
                  </w:txbxContent>
                </v:textbox>
              </v:shape>
            </w:pict>
          </mc:Fallback>
        </mc:AlternateContent>
      </w:r>
    </w:p>
    <w:p w14:paraId="32B407BB" w14:textId="77777777" w:rsidR="00E24CE9" w:rsidRDefault="00E24CE9">
      <w:pPr>
        <w:rPr>
          <w:lang w:val="es-ES"/>
        </w:rPr>
      </w:pPr>
    </w:p>
    <w:p w14:paraId="7B31E4A4" w14:textId="77777777" w:rsidR="00E24CE9" w:rsidRDefault="00E24CE9">
      <w:pPr>
        <w:rPr>
          <w:lang w:val="es-ES"/>
        </w:rPr>
      </w:pPr>
    </w:p>
    <w:p w14:paraId="3828C98F" w14:textId="77777777" w:rsidR="00E24CE9" w:rsidRDefault="00E24CE9">
      <w:pPr>
        <w:rPr>
          <w:lang w:val="es-ES"/>
        </w:rPr>
      </w:pPr>
    </w:p>
    <w:p w14:paraId="493A8663" w14:textId="77777777" w:rsidR="00E24CE9" w:rsidRDefault="00E24CE9">
      <w:pPr>
        <w:rPr>
          <w:lang w:val="es-ES"/>
        </w:rPr>
      </w:pPr>
    </w:p>
    <w:p w14:paraId="3CFEA60E" w14:textId="77777777" w:rsidR="00E24CE9" w:rsidRDefault="00E24CE9">
      <w:pPr>
        <w:rPr>
          <w:lang w:val="es-ES"/>
        </w:rPr>
      </w:pPr>
    </w:p>
    <w:p w14:paraId="00F7D28A" w14:textId="61064150" w:rsidR="00AA775E" w:rsidRDefault="00AA775E" w:rsidP="00AA775E">
      <w:pPr>
        <w:rPr>
          <w:lang w:val="es-ES"/>
        </w:rPr>
      </w:pPr>
      <w:r>
        <w:rPr>
          <w:lang w:val="es-ES"/>
        </w:rPr>
        <w:t xml:space="preserve">Entre las múltiples propuestas contenidas en el </w:t>
      </w:r>
      <w:hyperlink r:id="rId5" w:history="1">
        <w:r w:rsidRPr="001F5918">
          <w:rPr>
            <w:rStyle w:val="Hipervnculo"/>
            <w:lang w:val="es-ES"/>
          </w:rPr>
          <w:t xml:space="preserve">nuevo proyecto de reforma tributaria radicado por el Gobierno de Gustavo Petro en el congreso el </w:t>
        </w:r>
        <w:r>
          <w:rPr>
            <w:rStyle w:val="Hipervnculo"/>
            <w:lang w:val="es-ES"/>
          </w:rPr>
          <w:t>lunes</w:t>
        </w:r>
        <w:r w:rsidRPr="001F5918">
          <w:rPr>
            <w:rStyle w:val="Hipervnculo"/>
            <w:lang w:val="es-ES"/>
          </w:rPr>
          <w:t xml:space="preserve"> </w:t>
        </w:r>
        <w:r>
          <w:rPr>
            <w:rStyle w:val="Hipervnculo"/>
            <w:lang w:val="es-ES"/>
          </w:rPr>
          <w:t>1</w:t>
        </w:r>
        <w:r w:rsidRPr="001F5918">
          <w:rPr>
            <w:rStyle w:val="Hipervnculo"/>
            <w:lang w:val="es-ES"/>
          </w:rPr>
          <w:t xml:space="preserve"> de septiembre de 202</w:t>
        </w:r>
        <w:r>
          <w:rPr>
            <w:rStyle w:val="Hipervnculo"/>
            <w:lang w:val="es-ES"/>
          </w:rPr>
          <w:t>5</w:t>
        </w:r>
      </w:hyperlink>
      <w:r>
        <w:rPr>
          <w:lang w:val="es-ES"/>
        </w:rPr>
        <w:t xml:space="preserve"> (y que será tramitado como </w:t>
      </w:r>
      <w:hyperlink r:id="rId6" w:history="1">
        <w:r w:rsidRPr="00396000">
          <w:rPr>
            <w:rStyle w:val="Hipervnculo"/>
            <w:lang w:val="es-ES"/>
          </w:rPr>
          <w:t>un Proyecto de Ley de financiamiento</w:t>
        </w:r>
      </w:hyperlink>
      <w:r>
        <w:rPr>
          <w:lang w:val="es-ES"/>
        </w:rPr>
        <w:t xml:space="preserve"> regulado por el artículo 347 de la Constitución Nacional con miras a conseguir cerca de 26 billones de pesos que permitan cubrir </w:t>
      </w:r>
      <w:hyperlink r:id="rId7" w:history="1">
        <w:r w:rsidRPr="007A0F28">
          <w:rPr>
            <w:rStyle w:val="Hipervnculo"/>
            <w:lang w:val="es-ES"/>
          </w:rPr>
          <w:t>la financiación del presupuesto público de la Nación para el año 202</w:t>
        </w:r>
        <w:r>
          <w:rPr>
            <w:rStyle w:val="Hipervnculo"/>
            <w:lang w:val="es-ES"/>
          </w:rPr>
          <w:t>6</w:t>
        </w:r>
        <w:r w:rsidRPr="007A0F28">
          <w:rPr>
            <w:rStyle w:val="Hipervnculo"/>
            <w:lang w:val="es-ES"/>
          </w:rPr>
          <w:t xml:space="preserve"> que se empezó a discutir </w:t>
        </w:r>
        <w:r>
          <w:rPr>
            <w:rStyle w:val="Hipervnculo"/>
            <w:lang w:val="es-ES"/>
          </w:rPr>
          <w:t xml:space="preserve">desde julio de 2025 </w:t>
        </w:r>
        <w:r w:rsidRPr="007A0F28">
          <w:rPr>
            <w:rStyle w:val="Hipervnculo"/>
            <w:lang w:val="es-ES"/>
          </w:rPr>
          <w:t>en el congreso</w:t>
        </w:r>
      </w:hyperlink>
      <w:r>
        <w:rPr>
          <w:lang w:val="es-ES"/>
        </w:rPr>
        <w:t>), se incluy</w:t>
      </w:r>
      <w:r>
        <w:rPr>
          <w:lang w:val="es-ES"/>
        </w:rPr>
        <w:t>ó</w:t>
      </w:r>
      <w:r>
        <w:rPr>
          <w:lang w:val="es-ES"/>
        </w:rPr>
        <w:t xml:space="preserve"> de nuevo (al mismo estilo de lo que sucedió con el </w:t>
      </w:r>
      <w:hyperlink r:id="rId8" w:history="1">
        <w:r w:rsidRPr="00786F0C">
          <w:rPr>
            <w:rStyle w:val="Hipervnculo"/>
            <w:lang w:val="es-ES"/>
          </w:rPr>
          <w:t>fracasado proyecto de ley de financiam</w:t>
        </w:r>
        <w:r>
          <w:rPr>
            <w:rStyle w:val="Hipervnculo"/>
            <w:lang w:val="es-ES"/>
          </w:rPr>
          <w:t>i</w:t>
        </w:r>
        <w:r w:rsidRPr="00786F0C">
          <w:rPr>
            <w:rStyle w:val="Hipervnculo"/>
            <w:lang w:val="es-ES"/>
          </w:rPr>
          <w:t>ento del 2024</w:t>
        </w:r>
      </w:hyperlink>
      <w:r>
        <w:rPr>
          <w:lang w:val="es-ES"/>
        </w:rPr>
        <w:t>), la</w:t>
      </w:r>
      <w:r>
        <w:rPr>
          <w:lang w:val="es-ES"/>
        </w:rPr>
        <w:t xml:space="preserve"> propuesta de condicionar la deducción de costos y gastos ligando dicha deducción a la tarea de haber practicado primero las respectivas retenciones en la fuente a título de renta.</w:t>
      </w:r>
    </w:p>
    <w:p w14:paraId="7ACEEA1D" w14:textId="77777777" w:rsidR="00586DFF" w:rsidRDefault="00586DFF">
      <w:pPr>
        <w:rPr>
          <w:lang w:val="es-ES"/>
        </w:rPr>
      </w:pPr>
    </w:p>
    <w:p w14:paraId="6EF84E86" w14:textId="78E327CC" w:rsidR="00586DFF" w:rsidRDefault="00AA775E" w:rsidP="00586DFF">
      <w:pPr>
        <w:rPr>
          <w:lang w:val="es-ES"/>
        </w:rPr>
      </w:pPr>
      <w:r>
        <w:rPr>
          <w:lang w:val="es-ES"/>
        </w:rPr>
        <w:t xml:space="preserve">En esta ocasión la propuesta consiste en modificar el texto del artículo 117 del ET el cual </w:t>
      </w:r>
      <w:r w:rsidR="00586DFF">
        <w:rPr>
          <w:lang w:val="es-ES"/>
        </w:rPr>
        <w:t xml:space="preserve"> </w:t>
      </w:r>
      <w:r>
        <w:rPr>
          <w:lang w:val="es-ES"/>
        </w:rPr>
        <w:t xml:space="preserve">tendría el siguiente cambio </w:t>
      </w:r>
      <w:r w:rsidR="00586DFF">
        <w:rPr>
          <w:lang w:val="es-ES"/>
        </w:rPr>
        <w:t>(los subrayados son nuestros)</w:t>
      </w:r>
    </w:p>
    <w:p w14:paraId="46E94B69" w14:textId="77777777" w:rsidR="00586DFF" w:rsidRDefault="00586DFF" w:rsidP="00586DFF">
      <w:pPr>
        <w:rPr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586DFF" w14:paraId="4995B6BE" w14:textId="77777777" w:rsidTr="00FD286E">
        <w:tc>
          <w:tcPr>
            <w:tcW w:w="4414" w:type="dxa"/>
          </w:tcPr>
          <w:p w14:paraId="7EFEE829" w14:textId="77777777" w:rsidR="00586DFF" w:rsidRPr="00304313" w:rsidRDefault="00586DFF" w:rsidP="00FD286E">
            <w:pPr>
              <w:jc w:val="center"/>
              <w:rPr>
                <w:i/>
                <w:iCs/>
                <w:color w:val="000000" w:themeColor="text1"/>
                <w:lang w:val="es-ES"/>
              </w:rPr>
            </w:pPr>
            <w:r w:rsidRPr="00304313">
              <w:rPr>
                <w:i/>
                <w:iCs/>
                <w:color w:val="000000" w:themeColor="text1"/>
                <w:lang w:val="es-ES"/>
              </w:rPr>
              <w:t>Versión actual de la norma</w:t>
            </w:r>
          </w:p>
        </w:tc>
        <w:tc>
          <w:tcPr>
            <w:tcW w:w="4414" w:type="dxa"/>
          </w:tcPr>
          <w:p w14:paraId="141D781D" w14:textId="77777777" w:rsidR="00586DFF" w:rsidRPr="00304313" w:rsidRDefault="00586DFF" w:rsidP="00FD286E">
            <w:pPr>
              <w:jc w:val="center"/>
              <w:rPr>
                <w:i/>
                <w:iCs/>
                <w:color w:val="000000" w:themeColor="text1"/>
                <w:lang w:val="es-ES"/>
              </w:rPr>
            </w:pPr>
            <w:r w:rsidRPr="00304313">
              <w:rPr>
                <w:i/>
                <w:iCs/>
                <w:color w:val="000000" w:themeColor="text1"/>
                <w:lang w:val="es-ES"/>
              </w:rPr>
              <w:t>Nueva versión con que quedaría la norma si se aprueba la proposición del proyecto de Ley</w:t>
            </w:r>
          </w:p>
        </w:tc>
      </w:tr>
      <w:tr w:rsidR="004774A9" w14:paraId="42C9191D" w14:textId="77777777" w:rsidTr="00FD286E">
        <w:tc>
          <w:tcPr>
            <w:tcW w:w="4414" w:type="dxa"/>
          </w:tcPr>
          <w:p w14:paraId="4C7ED162" w14:textId="1E857AD5" w:rsidR="004774A9" w:rsidRPr="004774A9" w:rsidRDefault="004774A9" w:rsidP="004774A9">
            <w:pPr>
              <w:jc w:val="both"/>
              <w:rPr>
                <w:rFonts w:ascii="Cambria" w:hAnsi="Cambria"/>
                <w:i/>
                <w:iCs/>
                <w:color w:val="0070C0"/>
                <w:sz w:val="20"/>
                <w:szCs w:val="20"/>
              </w:rPr>
            </w:pPr>
            <w:bookmarkStart w:id="0" w:name="177"/>
            <w:r>
              <w:rPr>
                <w:rFonts w:ascii="Cambria" w:hAnsi="Cambria"/>
                <w:b/>
                <w:bCs/>
                <w:i/>
                <w:iCs/>
                <w:color w:val="0070C0"/>
                <w:sz w:val="20"/>
                <w:szCs w:val="20"/>
              </w:rPr>
              <w:t>“</w:t>
            </w:r>
            <w:r w:rsidRPr="004774A9">
              <w:rPr>
                <w:rFonts w:ascii="Cambria" w:hAnsi="Cambria"/>
                <w:b/>
                <w:bCs/>
                <w:i/>
                <w:iCs/>
                <w:color w:val="0070C0"/>
                <w:sz w:val="20"/>
                <w:szCs w:val="20"/>
              </w:rPr>
              <w:t>Articulo 177. Las limitaciones a costos se aplican a las deducciones</w:t>
            </w:r>
            <w:r w:rsidRPr="004774A9">
              <w:rPr>
                <w:rFonts w:ascii="Cambria" w:hAnsi="Cambria"/>
                <w:i/>
                <w:iCs/>
                <w:color w:val="0070C0"/>
                <w:sz w:val="20"/>
                <w:szCs w:val="20"/>
                <w:u w:val="single"/>
              </w:rPr>
              <w:t>.</w:t>
            </w:r>
            <w:bookmarkEnd w:id="0"/>
            <w:r w:rsidRPr="004774A9">
              <w:rPr>
                <w:rFonts w:ascii="Cambria" w:hAnsi="Cambria"/>
                <w:i/>
                <w:iCs/>
                <w:color w:val="0070C0"/>
                <w:sz w:val="20"/>
                <w:szCs w:val="20"/>
              </w:rPr>
              <w:t> Las deducciones están sujetas a las mismas limitaciones señaladas para los costos, en los artículos </w:t>
            </w:r>
            <w:hyperlink r:id="rId9" w:anchor="85" w:history="1">
              <w:r w:rsidRPr="004774A9">
                <w:rPr>
                  <w:rStyle w:val="Hipervnculo"/>
                  <w:rFonts w:ascii="Cambria" w:hAnsi="Cambria"/>
                  <w:i/>
                  <w:iCs/>
                  <w:color w:val="0070C0"/>
                  <w:spacing w:val="2"/>
                  <w:sz w:val="20"/>
                  <w:szCs w:val="20"/>
                </w:rPr>
                <w:t>85</w:t>
              </w:r>
            </w:hyperlink>
            <w:r w:rsidRPr="004774A9">
              <w:rPr>
                <w:rFonts w:ascii="Cambria" w:hAnsi="Cambria"/>
                <w:i/>
                <w:iCs/>
                <w:color w:val="0070C0"/>
                <w:sz w:val="20"/>
                <w:szCs w:val="20"/>
              </w:rPr>
              <w:t> a </w:t>
            </w:r>
            <w:hyperlink r:id="rId10" w:anchor="88" w:history="1">
              <w:r w:rsidRPr="004774A9">
                <w:rPr>
                  <w:rStyle w:val="Hipervnculo"/>
                  <w:rFonts w:ascii="Cambria" w:hAnsi="Cambria"/>
                  <w:i/>
                  <w:iCs/>
                  <w:color w:val="0070C0"/>
                  <w:spacing w:val="2"/>
                  <w:sz w:val="20"/>
                  <w:szCs w:val="20"/>
                </w:rPr>
                <w:t>88</w:t>
              </w:r>
            </w:hyperlink>
            <w:r w:rsidRPr="004774A9">
              <w:rPr>
                <w:rFonts w:ascii="Cambria" w:hAnsi="Cambria"/>
                <w:i/>
                <w:iCs/>
                <w:color w:val="0070C0"/>
                <w:sz w:val="20"/>
                <w:szCs w:val="20"/>
              </w:rPr>
              <w:t>, inclusive. Igualmente, para uno y otro caso, no serán deducibles los pagos respaldados en documentos frente a los cuales no se cumpla lo previsto en el numeral tercero del artículo </w:t>
            </w:r>
            <w:r w:rsidRPr="004774A9">
              <w:rPr>
                <w:rFonts w:ascii="Cambria" w:hAnsi="Cambria"/>
                <w:i/>
                <w:iCs/>
                <w:color w:val="0070C0"/>
                <w:spacing w:val="2"/>
                <w:sz w:val="20"/>
                <w:szCs w:val="20"/>
              </w:rPr>
              <w:t>522</w:t>
            </w:r>
            <w:r w:rsidRPr="004774A9">
              <w:rPr>
                <w:rFonts w:ascii="Cambria" w:hAnsi="Cambria"/>
                <w:i/>
                <w:iCs/>
                <w:color w:val="0070C0"/>
                <w:sz w:val="20"/>
                <w:szCs w:val="20"/>
              </w:rPr>
              <w:t>.</w:t>
            </w:r>
          </w:p>
          <w:p w14:paraId="38337F6F" w14:textId="77777777" w:rsidR="004774A9" w:rsidRPr="004774A9" w:rsidRDefault="004774A9" w:rsidP="004774A9">
            <w:pPr>
              <w:jc w:val="both"/>
              <w:rPr>
                <w:rFonts w:ascii="Cambria" w:hAnsi="Cambria"/>
                <w:i/>
                <w:iCs/>
                <w:color w:val="0070C0"/>
                <w:sz w:val="20"/>
                <w:szCs w:val="20"/>
              </w:rPr>
            </w:pPr>
          </w:p>
          <w:p w14:paraId="2AAC8F35" w14:textId="77777777" w:rsidR="004774A9" w:rsidRPr="004774A9" w:rsidRDefault="004774A9" w:rsidP="004774A9">
            <w:pPr>
              <w:jc w:val="both"/>
              <w:rPr>
                <w:rFonts w:ascii="Cambria" w:hAnsi="Cambria"/>
                <w:i/>
                <w:iCs/>
                <w:color w:val="0070C0"/>
                <w:sz w:val="20"/>
                <w:szCs w:val="20"/>
              </w:rPr>
            </w:pPr>
          </w:p>
          <w:p w14:paraId="38FE9B7A" w14:textId="77777777" w:rsidR="004774A9" w:rsidRPr="004774A9" w:rsidRDefault="004774A9" w:rsidP="004774A9">
            <w:pPr>
              <w:jc w:val="both"/>
              <w:rPr>
                <w:rFonts w:ascii="Cambria" w:hAnsi="Cambria"/>
                <w:i/>
                <w:iCs/>
                <w:color w:val="0070C0"/>
                <w:sz w:val="20"/>
                <w:szCs w:val="20"/>
              </w:rPr>
            </w:pPr>
          </w:p>
          <w:p w14:paraId="1A9F6C24" w14:textId="45279FA0" w:rsidR="004774A9" w:rsidRPr="004774A9" w:rsidRDefault="004774A9" w:rsidP="004774A9">
            <w:pPr>
              <w:jc w:val="both"/>
              <w:rPr>
                <w:rFonts w:ascii="Cambria" w:hAnsi="Cambria"/>
                <w:i/>
                <w:iCs/>
                <w:color w:val="0070C0"/>
                <w:sz w:val="20"/>
                <w:szCs w:val="20"/>
              </w:rPr>
            </w:pPr>
            <w:r w:rsidRPr="004774A9">
              <w:rPr>
                <w:rFonts w:ascii="Cambria" w:hAnsi="Cambria"/>
                <w:i/>
                <w:iCs/>
                <w:color w:val="0070C0"/>
                <w:sz w:val="20"/>
                <w:szCs w:val="20"/>
              </w:rPr>
              <w:t>Tampoco serán procedentes los costos o deducciones respecto de los cuales no se cumpla con la obligación señalada en artículo </w:t>
            </w:r>
            <w:r w:rsidRPr="004774A9">
              <w:rPr>
                <w:rFonts w:ascii="Cambria" w:hAnsi="Cambria"/>
                <w:i/>
                <w:iCs/>
                <w:color w:val="0070C0"/>
                <w:spacing w:val="2"/>
                <w:sz w:val="20"/>
                <w:szCs w:val="20"/>
              </w:rPr>
              <w:t>632</w:t>
            </w:r>
            <w:r w:rsidRPr="004774A9">
              <w:rPr>
                <w:rFonts w:ascii="Cambria" w:hAnsi="Cambria"/>
                <w:i/>
                <w:iCs/>
                <w:color w:val="0070C0"/>
                <w:sz w:val="20"/>
                <w:szCs w:val="20"/>
              </w:rPr>
              <w:t>.</w:t>
            </w:r>
            <w:r>
              <w:rPr>
                <w:rFonts w:ascii="Cambria" w:hAnsi="Cambria"/>
                <w:i/>
                <w:iCs/>
                <w:color w:val="0070C0"/>
                <w:sz w:val="20"/>
                <w:szCs w:val="20"/>
              </w:rPr>
              <w:t>”</w:t>
            </w:r>
          </w:p>
          <w:p w14:paraId="5AA26D6D" w14:textId="77777777" w:rsidR="004774A9" w:rsidRPr="004774A9" w:rsidRDefault="004774A9" w:rsidP="004774A9">
            <w:pPr>
              <w:rPr>
                <w:rFonts w:ascii="Cambria" w:hAnsi="Cambria" w:cs="Arial"/>
                <w:i/>
                <w:iCs/>
                <w:color w:val="0070C0"/>
                <w:sz w:val="16"/>
                <w:szCs w:val="16"/>
                <w:lang w:val="es-ES_tradnl"/>
              </w:rPr>
            </w:pPr>
          </w:p>
        </w:tc>
        <w:tc>
          <w:tcPr>
            <w:tcW w:w="4414" w:type="dxa"/>
          </w:tcPr>
          <w:p w14:paraId="71046C3B" w14:textId="1C1EC55D" w:rsidR="004774A9" w:rsidRPr="004774A9" w:rsidRDefault="004774A9" w:rsidP="004774A9">
            <w:pPr>
              <w:jc w:val="both"/>
              <w:rPr>
                <w:rFonts w:ascii="Cambria" w:hAnsi="Cambria"/>
                <w:i/>
                <w:iCs/>
                <w:color w:val="0070C0"/>
                <w:sz w:val="20"/>
                <w:szCs w:val="20"/>
              </w:rPr>
            </w:pPr>
            <w:r w:rsidRPr="004774A9">
              <w:rPr>
                <w:rFonts w:ascii="Cambria" w:hAnsi="Cambria"/>
                <w:b/>
                <w:bCs/>
                <w:i/>
                <w:iCs/>
                <w:color w:val="0070C0"/>
                <w:sz w:val="20"/>
                <w:szCs w:val="20"/>
              </w:rPr>
              <w:t>Articulo 177. Las limitaciones a costos se aplican a las deducciones (</w:t>
            </w:r>
            <w:r w:rsidRPr="00AA775E">
              <w:rPr>
                <w:rFonts w:ascii="Cambria" w:hAnsi="Cambria"/>
                <w:b/>
                <w:bCs/>
                <w:i/>
                <w:iCs/>
                <w:color w:val="FF0000"/>
                <w:sz w:val="20"/>
                <w:szCs w:val="20"/>
              </w:rPr>
              <w:t>modifica</w:t>
            </w:r>
            <w:r w:rsidR="00AA775E" w:rsidRPr="00AA775E">
              <w:rPr>
                <w:rFonts w:ascii="Cambria" w:hAnsi="Cambria"/>
                <w:b/>
                <w:bCs/>
                <w:i/>
                <w:iCs/>
                <w:color w:val="FF0000"/>
                <w:sz w:val="20"/>
                <w:szCs w:val="20"/>
              </w:rPr>
              <w:t>ción propuesta con</w:t>
            </w:r>
            <w:r w:rsidRPr="00AA775E">
              <w:rPr>
                <w:rFonts w:ascii="Cambria" w:hAnsi="Cambria"/>
                <w:b/>
                <w:bCs/>
                <w:i/>
                <w:iCs/>
                <w:color w:val="FF0000"/>
                <w:sz w:val="20"/>
                <w:szCs w:val="20"/>
              </w:rPr>
              <w:t xml:space="preserve"> artículo 62 del proyecto de Ley de septiembre de  2025</w:t>
            </w:r>
            <w:r w:rsidRPr="004774A9">
              <w:rPr>
                <w:rFonts w:ascii="Cambria" w:hAnsi="Cambria"/>
                <w:b/>
                <w:bCs/>
                <w:i/>
                <w:iCs/>
                <w:color w:val="0070C0"/>
                <w:sz w:val="20"/>
                <w:szCs w:val="20"/>
              </w:rPr>
              <w:t>)</w:t>
            </w:r>
            <w:r w:rsidRPr="004774A9">
              <w:rPr>
                <w:rFonts w:ascii="Cambria" w:hAnsi="Cambria"/>
                <w:i/>
                <w:iCs/>
                <w:color w:val="0070C0"/>
                <w:sz w:val="20"/>
                <w:szCs w:val="20"/>
                <w:u w:val="single"/>
              </w:rPr>
              <w:t>.</w:t>
            </w:r>
            <w:r w:rsidRPr="004774A9">
              <w:rPr>
                <w:rFonts w:ascii="Cambria" w:hAnsi="Cambria"/>
                <w:i/>
                <w:iCs/>
                <w:color w:val="0070C0"/>
                <w:sz w:val="20"/>
                <w:szCs w:val="20"/>
              </w:rPr>
              <w:t> Las deducciones están sujetas a las mismas limitaciones señaladas para los costos, en los artículos </w:t>
            </w:r>
            <w:hyperlink r:id="rId11" w:anchor="85" w:history="1">
              <w:r w:rsidRPr="004774A9">
                <w:rPr>
                  <w:rStyle w:val="Hipervnculo"/>
                  <w:rFonts w:ascii="Cambria" w:hAnsi="Cambria"/>
                  <w:i/>
                  <w:iCs/>
                  <w:color w:val="0070C0"/>
                  <w:spacing w:val="2"/>
                  <w:sz w:val="20"/>
                  <w:szCs w:val="20"/>
                </w:rPr>
                <w:t>85</w:t>
              </w:r>
            </w:hyperlink>
            <w:r w:rsidRPr="004774A9">
              <w:rPr>
                <w:rFonts w:ascii="Cambria" w:hAnsi="Cambria"/>
                <w:i/>
                <w:iCs/>
                <w:color w:val="0070C0"/>
                <w:sz w:val="20"/>
                <w:szCs w:val="20"/>
              </w:rPr>
              <w:t> a </w:t>
            </w:r>
            <w:hyperlink r:id="rId12" w:anchor="88" w:history="1">
              <w:r w:rsidRPr="004774A9">
                <w:rPr>
                  <w:rStyle w:val="Hipervnculo"/>
                  <w:rFonts w:ascii="Cambria" w:hAnsi="Cambria"/>
                  <w:i/>
                  <w:iCs/>
                  <w:color w:val="0070C0"/>
                  <w:spacing w:val="2"/>
                  <w:sz w:val="20"/>
                  <w:szCs w:val="20"/>
                </w:rPr>
                <w:t>88</w:t>
              </w:r>
            </w:hyperlink>
            <w:r w:rsidRPr="004774A9">
              <w:rPr>
                <w:rFonts w:ascii="Cambria" w:hAnsi="Cambria"/>
                <w:i/>
                <w:iCs/>
                <w:color w:val="0070C0"/>
                <w:sz w:val="20"/>
                <w:szCs w:val="20"/>
              </w:rPr>
              <w:t>, inclusive. Igualmente, para uno y otro caso, no serán deducibles los pagos respaldados en documentos frente a los cuales no se cumpla lo previsto en el numeral tercero del artículo </w:t>
            </w:r>
            <w:hyperlink r:id="rId13" w:anchor="522" w:history="1">
              <w:r w:rsidRPr="004774A9">
                <w:rPr>
                  <w:rStyle w:val="Hipervnculo"/>
                  <w:rFonts w:ascii="Cambria" w:hAnsi="Cambria"/>
                  <w:i/>
                  <w:iCs/>
                  <w:color w:val="0070C0"/>
                  <w:spacing w:val="2"/>
                  <w:sz w:val="20"/>
                  <w:szCs w:val="20"/>
                </w:rPr>
                <w:t>522</w:t>
              </w:r>
            </w:hyperlink>
            <w:r w:rsidRPr="004774A9">
              <w:rPr>
                <w:rFonts w:ascii="Cambria" w:hAnsi="Cambria"/>
                <w:i/>
                <w:iCs/>
                <w:color w:val="0070C0"/>
                <w:sz w:val="20"/>
                <w:szCs w:val="20"/>
              </w:rPr>
              <w:t>.</w:t>
            </w:r>
          </w:p>
          <w:p w14:paraId="51B8F464" w14:textId="77777777" w:rsidR="004774A9" w:rsidRPr="004774A9" w:rsidRDefault="004774A9" w:rsidP="004774A9">
            <w:pPr>
              <w:jc w:val="both"/>
              <w:rPr>
                <w:rFonts w:ascii="Cambria" w:hAnsi="Cambria"/>
                <w:i/>
                <w:iCs/>
                <w:color w:val="0070C0"/>
                <w:sz w:val="20"/>
                <w:szCs w:val="20"/>
              </w:rPr>
            </w:pPr>
          </w:p>
          <w:p w14:paraId="3F847BD1" w14:textId="39368118" w:rsidR="004774A9" w:rsidRPr="004774A9" w:rsidRDefault="004774A9" w:rsidP="004774A9">
            <w:pPr>
              <w:jc w:val="both"/>
              <w:rPr>
                <w:rFonts w:ascii="Cambria" w:hAnsi="Cambria"/>
                <w:i/>
                <w:iCs/>
                <w:color w:val="0070C0"/>
                <w:sz w:val="20"/>
                <w:szCs w:val="20"/>
              </w:rPr>
            </w:pPr>
            <w:r w:rsidRPr="004774A9">
              <w:rPr>
                <w:rFonts w:ascii="Cambria" w:hAnsi="Cambria"/>
                <w:i/>
                <w:iCs/>
                <w:color w:val="0070C0"/>
                <w:sz w:val="20"/>
                <w:szCs w:val="20"/>
              </w:rPr>
              <w:t xml:space="preserve">Tampoco serán procedentes los costos o deducciones respecto de los cuales no se cumpla con la obligación señalada en artículo 632 de este Estatuto, </w:t>
            </w:r>
            <w:r w:rsidRPr="00AA775E">
              <w:rPr>
                <w:rFonts w:ascii="Cambria" w:hAnsi="Cambria"/>
                <w:b/>
                <w:bCs/>
                <w:i/>
                <w:iCs/>
                <w:color w:val="0070C0"/>
                <w:sz w:val="20"/>
                <w:szCs w:val="20"/>
                <w:highlight w:val="yellow"/>
                <w:u w:val="single"/>
              </w:rPr>
              <w:t xml:space="preserve">ni se acredite que sobre los costos o deducciones se haya pagado la retención en la fuente cuando hubiere lugar a ella antes de la </w:t>
            </w:r>
            <w:r w:rsidRPr="00AA775E">
              <w:rPr>
                <w:rFonts w:ascii="Cambria" w:hAnsi="Cambria"/>
                <w:b/>
                <w:bCs/>
                <w:i/>
                <w:iCs/>
                <w:color w:val="0070C0"/>
                <w:sz w:val="20"/>
                <w:szCs w:val="20"/>
                <w:highlight w:val="yellow"/>
                <w:u w:val="single"/>
              </w:rPr>
              <w:lastRenderedPageBreak/>
              <w:t>presentación inicial de la declaración del impuesto sobre la renta.</w:t>
            </w:r>
            <w:r>
              <w:rPr>
                <w:rFonts w:ascii="Cambria" w:hAnsi="Cambria"/>
                <w:i/>
                <w:iCs/>
                <w:color w:val="0070C0"/>
                <w:sz w:val="20"/>
                <w:szCs w:val="20"/>
              </w:rPr>
              <w:t>”</w:t>
            </w:r>
          </w:p>
          <w:p w14:paraId="4A05277F" w14:textId="77777777" w:rsidR="004774A9" w:rsidRPr="004774A9" w:rsidRDefault="004774A9" w:rsidP="004774A9">
            <w:pPr>
              <w:rPr>
                <w:rFonts w:ascii="Cambria" w:hAnsi="Cambria" w:cs="Arial"/>
                <w:i/>
                <w:iCs/>
                <w:color w:val="0070C0"/>
                <w:sz w:val="16"/>
                <w:szCs w:val="16"/>
                <w:lang w:val="es-ES_tradnl"/>
              </w:rPr>
            </w:pPr>
          </w:p>
        </w:tc>
      </w:tr>
    </w:tbl>
    <w:p w14:paraId="37D54F8B" w14:textId="77777777" w:rsidR="00966605" w:rsidRDefault="00966605">
      <w:pPr>
        <w:rPr>
          <w:lang w:val="es-ES"/>
        </w:rPr>
      </w:pPr>
    </w:p>
    <w:p w14:paraId="0D595174" w14:textId="5C924FE9" w:rsidR="008C2E52" w:rsidRDefault="008C2E52">
      <w:pPr>
        <w:rPr>
          <w:lang w:val="es-ES"/>
        </w:rPr>
      </w:pPr>
      <w:r>
        <w:rPr>
          <w:lang w:val="es-ES"/>
        </w:rPr>
        <w:t xml:space="preserve">En relación con esta propuesta, en la </w:t>
      </w:r>
      <w:hyperlink r:id="rId14" w:history="1">
        <w:r w:rsidRPr="00AA775E">
          <w:rPr>
            <w:rStyle w:val="Hipervnculo"/>
            <w:lang w:val="es-ES"/>
          </w:rPr>
          <w:t xml:space="preserve">página </w:t>
        </w:r>
        <w:r w:rsidR="004774A9" w:rsidRPr="00AA775E">
          <w:rPr>
            <w:rStyle w:val="Hipervnculo"/>
            <w:lang w:val="es-ES"/>
          </w:rPr>
          <w:t>60</w:t>
        </w:r>
        <w:r w:rsidRPr="00AA775E">
          <w:rPr>
            <w:rStyle w:val="Hipervnculo"/>
            <w:lang w:val="es-ES"/>
          </w:rPr>
          <w:t xml:space="preserve"> de la exposición de motivos del proyecto de Ley</w:t>
        </w:r>
      </w:hyperlink>
      <w:r>
        <w:rPr>
          <w:lang w:val="es-ES"/>
        </w:rPr>
        <w:t xml:space="preserve"> se lee lo siguiente:</w:t>
      </w:r>
    </w:p>
    <w:p w14:paraId="36968D55" w14:textId="77777777" w:rsidR="008C2E52" w:rsidRDefault="008C2E52">
      <w:pPr>
        <w:rPr>
          <w:lang w:val="es-ES"/>
        </w:rPr>
      </w:pPr>
    </w:p>
    <w:p w14:paraId="44DFCD34" w14:textId="419BCFBA" w:rsidR="004774A9" w:rsidRPr="004774A9" w:rsidRDefault="004774A9" w:rsidP="004774A9">
      <w:pPr>
        <w:autoSpaceDE w:val="0"/>
        <w:autoSpaceDN w:val="0"/>
        <w:adjustRightInd w:val="0"/>
        <w:rPr>
          <w:i/>
          <w:iCs/>
          <w:color w:val="0070C0"/>
          <w:lang w:val="es-ES"/>
        </w:rPr>
      </w:pPr>
      <w:r>
        <w:rPr>
          <w:i/>
          <w:iCs/>
          <w:color w:val="0070C0"/>
          <w:lang w:val="es-ES"/>
        </w:rPr>
        <w:t>“</w:t>
      </w:r>
      <w:r w:rsidRPr="004774A9">
        <w:rPr>
          <w:i/>
          <w:iCs/>
          <w:color w:val="0070C0"/>
          <w:lang w:val="es-ES"/>
        </w:rPr>
        <w:t>Fortalecimiento de la retención en la fuente y deducciones. Uno de los asuntos que</w:t>
      </w:r>
    </w:p>
    <w:p w14:paraId="58D00B72" w14:textId="77777777" w:rsidR="004774A9" w:rsidRPr="004774A9" w:rsidRDefault="004774A9" w:rsidP="004774A9">
      <w:pPr>
        <w:autoSpaceDE w:val="0"/>
        <w:autoSpaceDN w:val="0"/>
        <w:adjustRightInd w:val="0"/>
        <w:rPr>
          <w:i/>
          <w:iCs/>
          <w:color w:val="0070C0"/>
          <w:lang w:val="es-ES"/>
        </w:rPr>
      </w:pPr>
      <w:r w:rsidRPr="004774A9">
        <w:rPr>
          <w:i/>
          <w:iCs/>
          <w:color w:val="0070C0"/>
          <w:lang w:val="es-ES"/>
        </w:rPr>
        <w:t>mayores dificultades representa para la administración tributaria es la deducción de</w:t>
      </w:r>
    </w:p>
    <w:p w14:paraId="40540029" w14:textId="77777777" w:rsidR="004774A9" w:rsidRPr="004774A9" w:rsidRDefault="004774A9" w:rsidP="004774A9">
      <w:pPr>
        <w:autoSpaceDE w:val="0"/>
        <w:autoSpaceDN w:val="0"/>
        <w:adjustRightInd w:val="0"/>
        <w:rPr>
          <w:i/>
          <w:iCs/>
          <w:color w:val="0070C0"/>
          <w:lang w:val="es-ES"/>
        </w:rPr>
      </w:pPr>
      <w:r w:rsidRPr="004774A9">
        <w:rPr>
          <w:i/>
          <w:iCs/>
          <w:color w:val="0070C0"/>
          <w:lang w:val="es-ES"/>
        </w:rPr>
        <w:t>expensas respecto de las cuales la retención en la fuente no se presentó oportunamente.</w:t>
      </w:r>
    </w:p>
    <w:p w14:paraId="7EE6C72F" w14:textId="77777777" w:rsidR="004774A9" w:rsidRDefault="004774A9" w:rsidP="004774A9">
      <w:pPr>
        <w:autoSpaceDE w:val="0"/>
        <w:autoSpaceDN w:val="0"/>
        <w:adjustRightInd w:val="0"/>
        <w:rPr>
          <w:i/>
          <w:iCs/>
          <w:color w:val="0070C0"/>
          <w:lang w:val="es-ES"/>
        </w:rPr>
      </w:pPr>
    </w:p>
    <w:p w14:paraId="71970660" w14:textId="7D4944F1" w:rsidR="004774A9" w:rsidRPr="004774A9" w:rsidRDefault="004774A9" w:rsidP="004774A9">
      <w:pPr>
        <w:autoSpaceDE w:val="0"/>
        <w:autoSpaceDN w:val="0"/>
        <w:adjustRightInd w:val="0"/>
        <w:rPr>
          <w:i/>
          <w:iCs/>
          <w:color w:val="0070C0"/>
          <w:lang w:val="es-ES"/>
        </w:rPr>
      </w:pPr>
      <w:r w:rsidRPr="004774A9">
        <w:rPr>
          <w:i/>
          <w:iCs/>
          <w:color w:val="0070C0"/>
          <w:lang w:val="es-ES"/>
        </w:rPr>
        <w:t>En este sentido, la propuesta de modificar el inciso 2 del artículo 177 ET se constituye</w:t>
      </w:r>
    </w:p>
    <w:p w14:paraId="49DC76C7" w14:textId="77777777" w:rsidR="004774A9" w:rsidRPr="004774A9" w:rsidRDefault="004774A9" w:rsidP="004774A9">
      <w:pPr>
        <w:autoSpaceDE w:val="0"/>
        <w:autoSpaceDN w:val="0"/>
        <w:adjustRightInd w:val="0"/>
        <w:rPr>
          <w:i/>
          <w:iCs/>
          <w:color w:val="0070C0"/>
          <w:lang w:val="es-ES"/>
        </w:rPr>
      </w:pPr>
      <w:r w:rsidRPr="004774A9">
        <w:rPr>
          <w:i/>
          <w:iCs/>
          <w:color w:val="0070C0"/>
          <w:lang w:val="es-ES"/>
        </w:rPr>
        <w:t>para que procedan estas deducciones cuando se haya pagado la retención en la fuente,</w:t>
      </w:r>
    </w:p>
    <w:p w14:paraId="29C58B55" w14:textId="77777777" w:rsidR="004774A9" w:rsidRPr="004774A9" w:rsidRDefault="004774A9" w:rsidP="004774A9">
      <w:pPr>
        <w:autoSpaceDE w:val="0"/>
        <w:autoSpaceDN w:val="0"/>
        <w:adjustRightInd w:val="0"/>
        <w:rPr>
          <w:i/>
          <w:iCs/>
          <w:color w:val="0070C0"/>
          <w:lang w:val="es-ES"/>
        </w:rPr>
      </w:pPr>
      <w:r w:rsidRPr="004774A9">
        <w:rPr>
          <w:i/>
          <w:iCs/>
          <w:color w:val="0070C0"/>
          <w:lang w:val="es-ES"/>
        </w:rPr>
        <w:t>antes de la presentación inicial de la declaración del impuesto sobre la renta. En este</w:t>
      </w:r>
    </w:p>
    <w:p w14:paraId="1A7F09F5" w14:textId="77777777" w:rsidR="004774A9" w:rsidRPr="004774A9" w:rsidRDefault="004774A9" w:rsidP="004774A9">
      <w:pPr>
        <w:autoSpaceDE w:val="0"/>
        <w:autoSpaceDN w:val="0"/>
        <w:adjustRightInd w:val="0"/>
        <w:rPr>
          <w:i/>
          <w:iCs/>
          <w:color w:val="0070C0"/>
          <w:lang w:val="es-ES"/>
        </w:rPr>
      </w:pPr>
      <w:r w:rsidRPr="004774A9">
        <w:rPr>
          <w:i/>
          <w:iCs/>
          <w:color w:val="0070C0"/>
          <w:lang w:val="es-ES"/>
        </w:rPr>
        <w:t>orden de ideas, si la retención en la fuente asociada a una expensa no fue pagada antes</w:t>
      </w:r>
    </w:p>
    <w:p w14:paraId="16ADB9D3" w14:textId="77777777" w:rsidR="004774A9" w:rsidRPr="004774A9" w:rsidRDefault="004774A9" w:rsidP="004774A9">
      <w:pPr>
        <w:autoSpaceDE w:val="0"/>
        <w:autoSpaceDN w:val="0"/>
        <w:adjustRightInd w:val="0"/>
        <w:rPr>
          <w:i/>
          <w:iCs/>
          <w:color w:val="0070C0"/>
          <w:lang w:val="es-ES"/>
        </w:rPr>
      </w:pPr>
      <w:r w:rsidRPr="004774A9">
        <w:rPr>
          <w:i/>
          <w:iCs/>
          <w:color w:val="0070C0"/>
          <w:lang w:val="es-ES"/>
        </w:rPr>
        <w:t>de la presentación inicial de la declaración del impuesto sobre la renta, la expensa no</w:t>
      </w:r>
    </w:p>
    <w:p w14:paraId="21BE8183" w14:textId="33A05CA6" w:rsidR="004774A9" w:rsidRPr="004774A9" w:rsidRDefault="004774A9" w:rsidP="004774A9">
      <w:pPr>
        <w:autoSpaceDE w:val="0"/>
        <w:autoSpaceDN w:val="0"/>
        <w:adjustRightInd w:val="0"/>
        <w:rPr>
          <w:i/>
          <w:iCs/>
          <w:color w:val="0070C0"/>
          <w:lang w:val="es-ES"/>
        </w:rPr>
      </w:pPr>
      <w:r w:rsidRPr="004774A9">
        <w:rPr>
          <w:i/>
          <w:iCs/>
          <w:color w:val="0070C0"/>
          <w:lang w:val="es-ES"/>
        </w:rPr>
        <w:t>será deducible del impuesto sobre la renta.</w:t>
      </w:r>
      <w:r>
        <w:rPr>
          <w:i/>
          <w:iCs/>
          <w:color w:val="0070C0"/>
          <w:lang w:val="es-ES"/>
        </w:rPr>
        <w:t>”</w:t>
      </w:r>
    </w:p>
    <w:p w14:paraId="2AC5B1F8" w14:textId="77777777" w:rsidR="004774A9" w:rsidRDefault="004774A9" w:rsidP="004774A9">
      <w:pPr>
        <w:autoSpaceDE w:val="0"/>
        <w:autoSpaceDN w:val="0"/>
        <w:adjustRightInd w:val="0"/>
        <w:rPr>
          <w:i/>
          <w:iCs/>
          <w:color w:val="0070C0"/>
          <w:lang w:val="es-ES"/>
        </w:rPr>
      </w:pPr>
    </w:p>
    <w:p w14:paraId="3CBB5222" w14:textId="77777777" w:rsidR="004774A9" w:rsidRPr="00F34456" w:rsidRDefault="004774A9" w:rsidP="004774A9">
      <w:pPr>
        <w:numPr>
          <w:ilvl w:val="1"/>
          <w:numId w:val="2"/>
        </w:numPr>
        <w:autoSpaceDE w:val="0"/>
        <w:autoSpaceDN w:val="0"/>
        <w:adjustRightInd w:val="0"/>
        <w:rPr>
          <w:rFonts w:ascii="Verdana" w:hAnsi="Verdana" w:cs="Verdana"/>
          <w:color w:val="000000"/>
          <w:kern w:val="0"/>
          <w:sz w:val="21"/>
          <w:szCs w:val="21"/>
          <w:lang w:val="es-MX"/>
        </w:rPr>
      </w:pPr>
    </w:p>
    <w:p w14:paraId="3C59CFA6" w14:textId="6AFC4096" w:rsidR="006D265E" w:rsidRDefault="002A0011" w:rsidP="008C2E52">
      <w:pPr>
        <w:rPr>
          <w:lang w:val="es-ES"/>
        </w:rPr>
      </w:pPr>
      <w:r>
        <w:rPr>
          <w:lang w:val="es-ES"/>
        </w:rPr>
        <w:t xml:space="preserve">Al respecto, y de acuerdo con las doctrinas de la DIAN contenidas en los </w:t>
      </w:r>
      <w:r w:rsidR="006D265E">
        <w:rPr>
          <w:lang w:val="es-ES"/>
        </w:rPr>
        <w:t xml:space="preserve">conceptos </w:t>
      </w:r>
      <w:hyperlink r:id="rId15" w:history="1">
        <w:r w:rsidR="006D265E" w:rsidRPr="006D265E">
          <w:rPr>
            <w:rStyle w:val="Hipervnculo"/>
            <w:lang w:val="es-ES"/>
          </w:rPr>
          <w:t xml:space="preserve">117655 de diciembre </w:t>
        </w:r>
        <w:r w:rsidR="006D265E">
          <w:rPr>
            <w:rStyle w:val="Hipervnculo"/>
            <w:lang w:val="es-ES"/>
          </w:rPr>
          <w:t xml:space="preserve">4 </w:t>
        </w:r>
        <w:r w:rsidR="006D265E" w:rsidRPr="006D265E">
          <w:rPr>
            <w:rStyle w:val="Hipervnculo"/>
            <w:lang w:val="es-ES"/>
          </w:rPr>
          <w:t>de 2000</w:t>
        </w:r>
      </w:hyperlink>
      <w:r w:rsidR="006D265E">
        <w:rPr>
          <w:lang w:val="es-ES"/>
        </w:rPr>
        <w:t xml:space="preserve">, y </w:t>
      </w:r>
      <w:hyperlink r:id="rId16" w:history="1">
        <w:r w:rsidR="006D265E" w:rsidRPr="007713ED">
          <w:rPr>
            <w:rStyle w:val="Hipervnculo"/>
            <w:lang w:val="es-ES"/>
          </w:rPr>
          <w:t>882 de septiembre 5 de 2016</w:t>
        </w:r>
      </w:hyperlink>
      <w:r w:rsidR="006D265E">
        <w:rPr>
          <w:lang w:val="es-ES"/>
        </w:rPr>
        <w:t xml:space="preserve">, el haber practicado retenciones en la fuente no es un requisito para poder deducir costos y gastos, salvo en contados casos como el del artículo </w:t>
      </w:r>
      <w:hyperlink r:id="rId17" w:anchor="87-1" w:history="1">
        <w:r w:rsidR="006D265E" w:rsidRPr="006D265E">
          <w:rPr>
            <w:rStyle w:val="Hipervnculo"/>
            <w:lang w:val="es-ES"/>
          </w:rPr>
          <w:t xml:space="preserve">87-1 </w:t>
        </w:r>
      </w:hyperlink>
      <w:r w:rsidR="006D265E">
        <w:rPr>
          <w:lang w:val="es-ES"/>
        </w:rPr>
        <w:t xml:space="preserve"> (pagos laborales), </w:t>
      </w:r>
      <w:hyperlink r:id="rId18" w:anchor="121" w:history="1">
        <w:r w:rsidR="006D265E" w:rsidRPr="006D265E">
          <w:rPr>
            <w:rStyle w:val="Hipervnculo"/>
            <w:lang w:val="es-ES"/>
          </w:rPr>
          <w:t>121</w:t>
        </w:r>
      </w:hyperlink>
      <w:r w:rsidR="006D265E">
        <w:rPr>
          <w:lang w:val="es-ES"/>
        </w:rPr>
        <w:t xml:space="preserve"> (pagos a terceros ubicados en el exterior que hayan ganado rentas gravadas dentro de Colombia) y </w:t>
      </w:r>
      <w:hyperlink r:id="rId19" w:anchor="124-2" w:history="1">
        <w:r w:rsidR="006D265E" w:rsidRPr="006D265E">
          <w:rPr>
            <w:rStyle w:val="Hipervnculo"/>
            <w:lang w:val="es-ES"/>
          </w:rPr>
          <w:t>124-2</w:t>
        </w:r>
      </w:hyperlink>
      <w:r w:rsidR="006D265E">
        <w:rPr>
          <w:lang w:val="es-ES"/>
        </w:rPr>
        <w:t xml:space="preserve"> del ET (</w:t>
      </w:r>
      <w:r w:rsidR="006D265E">
        <w:rPr>
          <w:lang w:val="es-ES"/>
        </w:rPr>
        <w:t xml:space="preserve">pagos a terceros ubicados en el </w:t>
      </w:r>
      <w:r w:rsidR="006D265E">
        <w:rPr>
          <w:lang w:val="es-ES"/>
        </w:rPr>
        <w:t>paraísos fiscales y</w:t>
      </w:r>
      <w:r w:rsidR="006D265E">
        <w:rPr>
          <w:lang w:val="es-ES"/>
        </w:rPr>
        <w:t xml:space="preserve"> que hayan ganado rentas gravadas dentro de Colombia</w:t>
      </w:r>
      <w:r w:rsidR="006D265E">
        <w:rPr>
          <w:lang w:val="es-ES"/>
        </w:rPr>
        <w:t>).</w:t>
      </w:r>
    </w:p>
    <w:p w14:paraId="2FD6B75A" w14:textId="77777777" w:rsidR="006D265E" w:rsidRDefault="006D265E" w:rsidP="008C2E52">
      <w:pPr>
        <w:rPr>
          <w:lang w:val="es-ES"/>
        </w:rPr>
      </w:pPr>
    </w:p>
    <w:p w14:paraId="7EEE4FAC" w14:textId="77D44135" w:rsidR="00F34456" w:rsidRDefault="006F1759" w:rsidP="008C2E52">
      <w:pPr>
        <w:rPr>
          <w:lang w:val="es-ES"/>
        </w:rPr>
      </w:pPr>
      <w:r>
        <w:rPr>
          <w:lang w:val="es-ES"/>
        </w:rPr>
        <w:t>Por tanto, con las modificaciones que se proponen al texto del artículo 1</w:t>
      </w:r>
      <w:r w:rsidR="006D265E">
        <w:rPr>
          <w:lang w:val="es-ES"/>
        </w:rPr>
        <w:t>7</w:t>
      </w:r>
      <w:r>
        <w:rPr>
          <w:lang w:val="es-ES"/>
        </w:rPr>
        <w:t>7 del ET, las consecuencias tributarias más importantes serían:</w:t>
      </w:r>
    </w:p>
    <w:p w14:paraId="1773677B" w14:textId="77777777" w:rsidR="006F1759" w:rsidRDefault="006F1759" w:rsidP="008C2E52">
      <w:pPr>
        <w:rPr>
          <w:lang w:val="es-ES"/>
        </w:rPr>
      </w:pPr>
    </w:p>
    <w:p w14:paraId="4155A609" w14:textId="0E085465" w:rsidR="006F1759" w:rsidRDefault="006F1759" w:rsidP="008C2E52">
      <w:pPr>
        <w:rPr>
          <w:lang w:val="es-ES"/>
        </w:rPr>
      </w:pPr>
      <w:r>
        <w:rPr>
          <w:lang w:val="es-ES"/>
        </w:rPr>
        <w:t xml:space="preserve">-Los declarantes de renta del régimen ordinario o del régimen especial que sean agentes de retención a título de renta, y que deseen deducir algún costo o gasto al cual se le debía practicar retenciones en la fuente, tendrían que preocuparse por demostrar que dicha retención sí fue practicada, declarada y pagada </w:t>
      </w:r>
      <w:r w:rsidR="00E24CE9">
        <w:rPr>
          <w:lang w:val="es-ES"/>
        </w:rPr>
        <w:t xml:space="preserve">(aunque sea de forma extemporánea) </w:t>
      </w:r>
      <w:r>
        <w:rPr>
          <w:lang w:val="es-ES"/>
        </w:rPr>
        <w:t xml:space="preserve">antes de la presentación </w:t>
      </w:r>
      <w:r w:rsidR="00AA775E">
        <w:rPr>
          <w:lang w:val="es-ES"/>
        </w:rPr>
        <w:t xml:space="preserve">inicial </w:t>
      </w:r>
      <w:r>
        <w:rPr>
          <w:lang w:val="es-ES"/>
        </w:rPr>
        <w:t>de la declaración de renta</w:t>
      </w:r>
      <w:r w:rsidR="00AA775E">
        <w:rPr>
          <w:lang w:val="es-ES"/>
        </w:rPr>
        <w:t>.</w:t>
      </w:r>
    </w:p>
    <w:p w14:paraId="0DCF84A2" w14:textId="77777777" w:rsidR="00E24CE9" w:rsidRDefault="00E24CE9" w:rsidP="008C2E52">
      <w:pPr>
        <w:rPr>
          <w:lang w:val="es-ES"/>
        </w:rPr>
      </w:pPr>
    </w:p>
    <w:p w14:paraId="6D1FFAC3" w14:textId="0365D2CE" w:rsidR="006F1759" w:rsidRDefault="006F1759" w:rsidP="008C2E52">
      <w:pPr>
        <w:rPr>
          <w:lang w:val="es-ES"/>
        </w:rPr>
      </w:pPr>
      <w:r>
        <w:rPr>
          <w:lang w:val="es-ES"/>
        </w:rPr>
        <w:t xml:space="preserve">-Si no se cumple lo anterior, la declaración de renta tampoco podría quedar amparada con </w:t>
      </w:r>
      <w:hyperlink r:id="rId20" w:history="1">
        <w:r w:rsidRPr="00E24CE9">
          <w:rPr>
            <w:rStyle w:val="Hipervnculo"/>
            <w:lang w:val="es-ES"/>
          </w:rPr>
          <w:t>el beneficio de auditoría del artículo 689-3 del ET</w:t>
        </w:r>
      </w:hyperlink>
      <w:r w:rsidR="00AA775E">
        <w:rPr>
          <w:lang w:val="es-ES"/>
        </w:rPr>
        <w:t xml:space="preserve"> </w:t>
      </w:r>
      <w:r>
        <w:rPr>
          <w:lang w:val="es-ES"/>
        </w:rPr>
        <w:t xml:space="preserve">pues en el artículo </w:t>
      </w:r>
      <w:r w:rsidR="00AA775E">
        <w:rPr>
          <w:lang w:val="es-ES"/>
        </w:rPr>
        <w:t>95</w:t>
      </w:r>
      <w:r>
        <w:rPr>
          <w:lang w:val="es-ES"/>
        </w:rPr>
        <w:t xml:space="preserve"> del proyecto de Ley se propone derogar el artículo 69 de la Ley 2294 de mayo de 2023, </w:t>
      </w:r>
      <w:hyperlink r:id="rId21" w:history="1">
        <w:r w:rsidRPr="00E24CE9">
          <w:rPr>
            <w:rStyle w:val="Hipervnculo"/>
            <w:lang w:val="es-ES"/>
          </w:rPr>
          <w:t>el cual prorrogó justamente el beneficio de auditoría del artículo 689-3 del ET para los años 2024, 2025 y 2026</w:t>
        </w:r>
      </w:hyperlink>
      <w:r>
        <w:rPr>
          <w:lang w:val="es-ES"/>
        </w:rPr>
        <w:t xml:space="preserve"> </w:t>
      </w:r>
    </w:p>
    <w:p w14:paraId="7EE408B7" w14:textId="77777777" w:rsidR="00E24CE9" w:rsidRDefault="00E24CE9" w:rsidP="008C2E52">
      <w:pPr>
        <w:pBdr>
          <w:bottom w:val="single" w:sz="12" w:space="1" w:color="auto"/>
        </w:pBdr>
        <w:rPr>
          <w:lang w:val="es-ES"/>
        </w:rPr>
      </w:pPr>
    </w:p>
    <w:p w14:paraId="0D2F5AAE" w14:textId="77777777" w:rsidR="00E24CE9" w:rsidRDefault="00E24CE9" w:rsidP="008C2E52">
      <w:pPr>
        <w:rPr>
          <w:lang w:val="es-ES"/>
        </w:rPr>
      </w:pPr>
    </w:p>
    <w:p w14:paraId="31183467" w14:textId="7DD53C50" w:rsidR="00E24CE9" w:rsidRDefault="00890B34" w:rsidP="008C2E52">
      <w:pPr>
        <w:rPr>
          <w:rFonts w:ascii="Arial" w:hAnsi="Arial" w:cs="Arial"/>
          <w:color w:val="080809"/>
          <w:sz w:val="23"/>
          <w:szCs w:val="23"/>
          <w:shd w:val="clear" w:color="auto" w:fill="FFFFFF"/>
        </w:rPr>
      </w:pPr>
      <w:hyperlink r:id="rId22" w:history="1">
        <w:r w:rsidRPr="00890B34">
          <w:rPr>
            <w:rStyle w:val="Hipervnculo"/>
            <w:rFonts w:ascii="Arial" w:hAnsi="Arial" w:cs="Arial"/>
            <w:sz w:val="23"/>
            <w:szCs w:val="23"/>
            <w:shd w:val="clear" w:color="auto" w:fill="FFFFFF"/>
          </w:rPr>
          <w:t>Proyecto reforma tributaria 2025: Modificaciones propuestas a las retenciones en la fuente sobre rentas de trabajo</w:t>
        </w:r>
      </w:hyperlink>
    </w:p>
    <w:p w14:paraId="4D8C7203" w14:textId="77777777" w:rsidR="00890B34" w:rsidRDefault="00890B34" w:rsidP="008C2E52">
      <w:pPr>
        <w:rPr>
          <w:rFonts w:ascii="Arial" w:hAnsi="Arial" w:cs="Arial"/>
          <w:color w:val="080809"/>
          <w:sz w:val="23"/>
          <w:szCs w:val="23"/>
          <w:shd w:val="clear" w:color="auto" w:fill="FFFFFF"/>
        </w:rPr>
      </w:pPr>
    </w:p>
    <w:p w14:paraId="015A64CC" w14:textId="6D62BBCF" w:rsidR="00890B34" w:rsidRDefault="00890B34" w:rsidP="008C2E52">
      <w:pPr>
        <w:rPr>
          <w:rFonts w:ascii="Arial" w:hAnsi="Arial" w:cs="Arial"/>
          <w:color w:val="080809"/>
          <w:sz w:val="23"/>
          <w:szCs w:val="23"/>
          <w:shd w:val="clear" w:color="auto" w:fill="FFFFFF"/>
        </w:rPr>
      </w:pPr>
      <w:hyperlink r:id="rId23" w:history="1">
        <w:r w:rsidRPr="00890B34">
          <w:rPr>
            <w:rStyle w:val="Hipervnculo"/>
            <w:rFonts w:ascii="Arial" w:hAnsi="Arial" w:cs="Arial"/>
            <w:sz w:val="23"/>
            <w:szCs w:val="23"/>
            <w:shd w:val="clear" w:color="auto" w:fill="FFFFFF"/>
          </w:rPr>
          <w:t>Proyecto reforma tributaria 2025: Modificaciones propuestas a la cedulación del impuesto de renta de personas naturales residentes</w:t>
        </w:r>
      </w:hyperlink>
    </w:p>
    <w:p w14:paraId="4A5E33C7" w14:textId="77777777" w:rsidR="00890B34" w:rsidRDefault="00890B34" w:rsidP="008C2E52">
      <w:pPr>
        <w:rPr>
          <w:rFonts w:ascii="Arial" w:hAnsi="Arial" w:cs="Arial"/>
          <w:color w:val="080809"/>
          <w:sz w:val="23"/>
          <w:szCs w:val="23"/>
          <w:shd w:val="clear" w:color="auto" w:fill="FFFFFF"/>
        </w:rPr>
      </w:pPr>
    </w:p>
    <w:p w14:paraId="4A644049" w14:textId="77777777" w:rsidR="00890B34" w:rsidRDefault="00890B34" w:rsidP="008C2E52">
      <w:pPr>
        <w:rPr>
          <w:rFonts w:ascii="Arial" w:hAnsi="Arial" w:cs="Arial"/>
          <w:color w:val="080809"/>
          <w:sz w:val="23"/>
          <w:szCs w:val="23"/>
          <w:shd w:val="clear" w:color="auto" w:fill="FFFFFF"/>
        </w:rPr>
      </w:pPr>
    </w:p>
    <w:p w14:paraId="0BCAA278" w14:textId="77777777" w:rsidR="00890B34" w:rsidRDefault="00890B34" w:rsidP="008C2E52">
      <w:pPr>
        <w:rPr>
          <w:lang w:val="es-ES"/>
        </w:rPr>
      </w:pPr>
    </w:p>
    <w:p w14:paraId="3D5A7871" w14:textId="77777777" w:rsidR="00E24CE9" w:rsidRPr="00E24CE9" w:rsidRDefault="00E24CE9" w:rsidP="008C2E52"/>
    <w:sectPr w:rsidR="00E24CE9" w:rsidRPr="00E24CE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02077EC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E80EA93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60506598">
    <w:abstractNumId w:val="0"/>
  </w:num>
  <w:num w:numId="2" w16cid:durableId="14082602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605"/>
    <w:rsid w:val="002A0011"/>
    <w:rsid w:val="003A13E2"/>
    <w:rsid w:val="0044376B"/>
    <w:rsid w:val="004774A9"/>
    <w:rsid w:val="00586DFF"/>
    <w:rsid w:val="006D265E"/>
    <w:rsid w:val="006F1759"/>
    <w:rsid w:val="0074217D"/>
    <w:rsid w:val="007713ED"/>
    <w:rsid w:val="00890B34"/>
    <w:rsid w:val="008C2E52"/>
    <w:rsid w:val="00966605"/>
    <w:rsid w:val="00AA775E"/>
    <w:rsid w:val="00AF1E35"/>
    <w:rsid w:val="00E24CE9"/>
    <w:rsid w:val="00F34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DB420"/>
  <w15:chartTrackingRefBased/>
  <w15:docId w15:val="{3EFD0287-AD53-8A4A-BD27-098D20AC9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E24CE9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86DFF"/>
    <w:rPr>
      <w:color w:val="0563C1" w:themeColor="hyperlink"/>
      <w:u w:val="single"/>
    </w:rPr>
  </w:style>
  <w:style w:type="table" w:styleId="Tablaconcuadrcula">
    <w:name w:val="Table Grid"/>
    <w:basedOn w:val="Tablanormal"/>
    <w:uiPriority w:val="59"/>
    <w:rsid w:val="00586D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586DFF"/>
    <w:pPr>
      <w:spacing w:before="100" w:beforeAutospacing="1" w:after="100" w:afterAutospacing="1"/>
    </w:pPr>
    <w:rPr>
      <w:rFonts w:ascii="Times New Roman" w:hAnsi="Times New Roman" w:cs="Times New Roman"/>
      <w:kern w:val="0"/>
      <w:lang w:val="es-ES_tradnl" w:eastAsia="es-ES_tradnl"/>
      <w14:ligatures w14:val="none"/>
    </w:rPr>
  </w:style>
  <w:style w:type="paragraph" w:customStyle="1" w:styleId="Default">
    <w:name w:val="Default"/>
    <w:rsid w:val="00586DFF"/>
    <w:pPr>
      <w:autoSpaceDE w:val="0"/>
      <w:autoSpaceDN w:val="0"/>
      <w:adjustRightInd w:val="0"/>
    </w:pPr>
    <w:rPr>
      <w:rFonts w:ascii="Arial" w:hAnsi="Arial" w:cs="Arial"/>
      <w:color w:val="000000"/>
      <w:kern w:val="0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E24CE9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E24CE9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  <w14:ligatures w14:val="none"/>
    </w:rPr>
  </w:style>
  <w:style w:type="character" w:styleId="Refdecomentario">
    <w:name w:val="annotation reference"/>
    <w:basedOn w:val="Fuentedeprrafopredeter"/>
    <w:uiPriority w:val="99"/>
    <w:semiHidden/>
    <w:unhideWhenUsed/>
    <w:rsid w:val="00E24CE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24CE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24CE9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24CE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24CE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dn.actualicese.com/normatividad/2024/Proyectos/PL300-Ley-Financiamiento-24.pdf" TargetMode="External"/><Relationship Id="rId13" Type="http://schemas.openxmlformats.org/officeDocument/2006/relationships/hyperlink" Target="https://normograma.dian.gov.co/dian/compilacion/docs/estatuto_tributario.htm" TargetMode="External"/><Relationship Id="rId18" Type="http://schemas.openxmlformats.org/officeDocument/2006/relationships/hyperlink" Target="https://normograma.dian.gov.co/dian/compilacion/docs/estatuto_tributario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actualicese.com/novedades-del-plan-nacional-de-desarrollo-2022-2026-en-materia-tributaria/" TargetMode="External"/><Relationship Id="rId7" Type="http://schemas.openxmlformats.org/officeDocument/2006/relationships/hyperlink" Target="https://www.senado.gov.co/index.php/el-senado/noticias/6706-congreso-inicia-tramite-del-proyecto-para-el-presupuesto-general-de-la-nacion-vigencia-2026" TargetMode="External"/><Relationship Id="rId12" Type="http://schemas.openxmlformats.org/officeDocument/2006/relationships/hyperlink" Target="https://normograma.dian.gov.co/dian/compilacion/docs/estatuto_tributario.htm" TargetMode="External"/><Relationship Id="rId17" Type="http://schemas.openxmlformats.org/officeDocument/2006/relationships/hyperlink" Target="https://normograma.dian.gov.co/dian/compilacion/docs/estatuto_tributario.htm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cijuf.org.co/normatividad/oficio/2016/oficio-882.html" TargetMode="External"/><Relationship Id="rId20" Type="http://schemas.openxmlformats.org/officeDocument/2006/relationships/hyperlink" Target="https://actualicese.com/beneficio-de-auditoria-para-el-cierre-del-ano-gravable-2024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minhacienda.gov.co/w/ministro-de-hacienda-presenta-la-ley-de-financiamiento-y-aclara-que-no-afecta-la-canasta-familiar" TargetMode="External"/><Relationship Id="rId11" Type="http://schemas.openxmlformats.org/officeDocument/2006/relationships/hyperlink" Target="https://normograma.dian.gov.co/dian/compilacion/docs/estatuto_tributario.htm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actualicese.com/cuadro-tematico-con-las-normas-afectadas-por-el-proyecto-de-ley-de-reforma-tributaria-radicado-en-septiembre-2025/" TargetMode="External"/><Relationship Id="rId15" Type="http://schemas.openxmlformats.org/officeDocument/2006/relationships/hyperlink" Target="https://actualicese.com/archivo/concepto-117655-de-04-12-2000/" TargetMode="External"/><Relationship Id="rId23" Type="http://schemas.openxmlformats.org/officeDocument/2006/relationships/hyperlink" Target="https://actualicese.com/proyecto-de-reforma-tributaria-2025-cambios-en-la-cedulacion-del-impuesto-de-renta-de-personas-naturales" TargetMode="External"/><Relationship Id="rId10" Type="http://schemas.openxmlformats.org/officeDocument/2006/relationships/hyperlink" Target="https://normograma.dian.gov.co/dian/compilacion/docs/estatuto_tributario.htm" TargetMode="External"/><Relationship Id="rId19" Type="http://schemas.openxmlformats.org/officeDocument/2006/relationships/hyperlink" Target="https://normograma.dian.gov.co/dian/compilacion/docs/estatuto_tributario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ormograma.dian.gov.co/dian/compilacion/docs/estatuto_tributario.htm" TargetMode="External"/><Relationship Id="rId14" Type="http://schemas.openxmlformats.org/officeDocument/2006/relationships/hyperlink" Target="https://acmineria.com.co/wp-content/uploads/2025/09/01-09-2025-Exposicion-de-motivos-Ley-de-Financiamiento-2025-OAJ-rev-CBeta.pdf" TargetMode="External"/><Relationship Id="rId22" Type="http://schemas.openxmlformats.org/officeDocument/2006/relationships/hyperlink" Target="https://actualicese.com/proyecto-de-reforma-tributaria-2025-modificaciones-propuestas-a-la-retencion-en-la-fuente-sobre-rentas-de-trabajo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1115</Words>
  <Characters>6134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guevara</dc:creator>
  <cp:keywords/>
  <dc:description/>
  <cp:lastModifiedBy>diego guevara</cp:lastModifiedBy>
  <cp:revision>5</cp:revision>
  <dcterms:created xsi:type="dcterms:W3CDTF">2025-09-21T23:57:00Z</dcterms:created>
  <dcterms:modified xsi:type="dcterms:W3CDTF">2025-09-22T19:09:00Z</dcterms:modified>
</cp:coreProperties>
</file>